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2004060</wp:posOffset>
            </wp:positionH>
            <wp:positionV relativeFrom="paragraph">
              <wp:posOffset>71755</wp:posOffset>
            </wp:positionV>
            <wp:extent cx="2078990" cy="13944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pStyle w:val="Testopreformatta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LICEO CLASSICO E SCIENTIFICO “FRANCESCO SBORDONE”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ASSOCIAZIONE  POLO CULTURALE PIETRASANTA ETS</w:t>
      </w:r>
    </w:p>
    <w:p>
      <w:pPr>
        <w:pStyle w:val="Testopreformattato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IV EDIZIONE</w:t>
      </w:r>
    </w:p>
    <w:p>
      <w:pPr>
        <w:pStyle w:val="Testopreformattato"/>
        <w:jc w:val="center"/>
        <w:rPr/>
      </w:pPr>
      <w:bookmarkStart w:id="0" w:name="__DdeLink__242_942013517"/>
      <w:r>
        <w:rPr>
          <w:rFonts w:ascii="Times New Roman" w:hAnsi="Times New Roman"/>
          <w:b/>
          <w:bCs/>
          <w:sz w:val="28"/>
          <w:szCs w:val="28"/>
        </w:rPr>
        <w:t>2023-202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4</w:t>
      </w:r>
    </w:p>
    <w:p>
      <w:pPr>
        <w:pStyle w:val="Testopreformattato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Su proposta del Comitato Scientifico Olimpiadi dei Saperi Positivi/ Acropoli dei Saperi il Liceo classico e scientifico “Francesco Sbordone” e l’Associazione Polo Culturale Pietrasanta ETS</w:t>
      </w:r>
      <w:r>
        <w:rPr>
          <w:rFonts w:ascii="Times New Roman" w:hAnsi="Times New Roman"/>
          <w:sz w:val="24"/>
          <w:szCs w:val="24"/>
        </w:rPr>
        <w:t>, in partenariato con la Società di Scienze, Lettere e Arti, con l’Accademia Pontaniana e con l’Università Federico II, con la quale l’Associazione ha stipulato l’Accordo Quadro per i Percorsi per le Competenze Trasversali e l’Orientamento (PCTO), con il patrocinio dell’Istituto Italiano per gli Studi Filosofici e con il sostegno dell’Associazione San Giuseppe dei Nudi, dall’anno 2022/2023,</w:t>
      </w:r>
    </w:p>
    <w:p>
      <w:pPr>
        <w:pStyle w:val="Testopreformattato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indicono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quarta edizione delle  competizioni nell’ambito  del progetto Olimpiadi dei Saperi Positivi/Acropoli dei Saperi, ideato e coordinato dalla prof. ssa Laura Colantonio, Dirigente Scolastica del Liceo classico e scientifico “Francesco Sbordone” , Istituto scolastico propulsore dell’iniziativa.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L’iniziativa trae ispirazione dalla convinzione, espressa e sostenuta da illustri accademici, che la considerazione delle “due culture”, scientifica e umanistica, su due piani distinti debba confluire in una concezione che guardi a una  “interazione dei sapei positivi” come fondamento per una ricerca che voglia considerarsi veramente “scientifica”. </w:t>
      </w:r>
    </w:p>
    <w:p>
      <w:pPr>
        <w:pStyle w:val="Testopreformattato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</w:r>
    </w:p>
    <w:p>
      <w:pPr>
        <w:pStyle w:val="Testopreformattato"/>
        <w:pageBreakBefore w:val="false"/>
        <w:spacing w:lineRule="auto" w:line="24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it-IT"/>
        </w:rPr>
        <w:t xml:space="preserve">Sono obiettivi formativi delle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it-IT"/>
        </w:rPr>
        <w:t>Olimpiadi</w:t>
      </w:r>
      <w:r>
        <w:rPr>
          <w:rFonts w:eastAsia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it-IT"/>
        </w:rPr>
        <w:t>dei Saperi Positivi/Acropoli dei Saperi:</w:t>
      </w:r>
      <w:r>
        <w:rPr>
          <w:rFonts w:eastAsia="Times New Roman" w:ascii="Times New Roman" w:hAnsi="Times New Roman"/>
          <w:sz w:val="24"/>
          <w:szCs w:val="24"/>
          <w:lang w:eastAsia="it-IT"/>
        </w:rPr>
        <w:t>:</w:t>
      </w:r>
    </w:p>
    <w:p>
      <w:pPr>
        <w:pStyle w:val="Normal"/>
        <w:keepNext w:val="false"/>
        <w:keepLines w:val="false"/>
        <w:pageBreakBefore w:val="false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1"/>
        </w:numPr>
        <w:spacing w:lineRule="auto" w:line="240" w:before="136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favorire e valorizzare l’interazione dei saperi nei percorsi formativi quale strumento scientifico unitario per la comprensione della complessità del reale, lo sviluppo delle competenze trasversali cognitive e non cognitive e la promozione di ogni persona nel processo di apprendimento e di orientamento nel mondo;</w:t>
      </w:r>
    </w:p>
    <w:p>
      <w:pPr>
        <w:pStyle w:val="Normal"/>
        <w:numPr>
          <w:ilvl w:val="0"/>
          <w:numId w:val="1"/>
        </w:numPr>
        <w:spacing w:lineRule="auto" w:line="240" w:before="136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dare centralità all’orientamento e in particolare a quello “formativo”, dalla scuola secondaria di primo grado a quella di secondo grado e ai percorsi universitari (in accordo con la Risoluzione del Consiglio d’Europa del 2008, con le linee nazionali del MIUR del 2014 per l’Orientamento permanente e con le più recenti linee guida ministeriali per l’Orientamento scolastico) perché le studentesse e gli studenti imparino a riconoscere le proprie attitudini e a operare con consapevolezza scelte future; </w:t>
      </w:r>
    </w:p>
    <w:p>
      <w:pPr>
        <w:pStyle w:val="Normal"/>
        <w:numPr>
          <w:ilvl w:val="0"/>
          <w:numId w:val="1"/>
        </w:numPr>
        <w:spacing w:lineRule="auto" w:line="240" w:before="136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favorire, attraverso il coinvolgimento attivo delle studentesse e degli studenti nella dimensione operativa del “progettare” e del “fare” in contesti esperienziali, l’acquisizione di competenze trasversali, in accordo con la Raccomandazione del Consiglio d’Europa del 2018; </w:t>
      </w:r>
    </w:p>
    <w:p>
      <w:pPr>
        <w:pStyle w:val="Normal"/>
        <w:numPr>
          <w:ilvl w:val="0"/>
          <w:numId w:val="1"/>
        </w:numPr>
        <w:spacing w:lineRule="auto" w:line="240" w:before="136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sviluppare “la capacità di agire da cittadini responsabili e di partecipare pienamente e consapevolmente alla vita civica, culturale e sociale della comunità” ;</w:t>
      </w:r>
    </w:p>
    <w:p>
      <w:pPr>
        <w:pStyle w:val="Normal"/>
        <w:numPr>
          <w:ilvl w:val="0"/>
          <w:numId w:val="1"/>
        </w:numPr>
        <w:spacing w:lineRule="auto" w:line="240" w:before="136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sostenere e valorizzare i patti di comunità come rapporti di collaborazione stabili tra scuole e altri soggetti operanti sul territorio, come università, accademie, fondazioni e inoltre soggetti operanti nel Terzo Settore, espressione dell’autonoma iniziativa del cittadini che concorrono “a perseguire il bene comune, a elevare i livelli di cittadinanza attiva, di coesione e protezione sociale” ; </w:t>
      </w:r>
    </w:p>
    <w:p>
      <w:pPr>
        <w:pStyle w:val="Normal"/>
        <w:numPr>
          <w:ilvl w:val="0"/>
          <w:numId w:val="1"/>
        </w:numPr>
        <w:spacing w:lineRule="auto" w:line="240" w:before="136" w:after="0"/>
        <w:ind w:left="720" w:hanging="360"/>
        <w:jc w:val="both"/>
        <w:rPr/>
      </w:pPr>
      <w:r>
        <w:rPr>
          <w:rFonts w:ascii="Times New Roman" w:hAnsi="Times New Roman"/>
          <w:sz w:val="24"/>
          <w:szCs w:val="24"/>
        </w:rPr>
        <w:t>promuovere una comunità di ricerca che sia in divenire comunità di eredità culturale;</w:t>
      </w:r>
    </w:p>
    <w:p>
      <w:pPr>
        <w:pStyle w:val="Normal"/>
        <w:numPr>
          <w:ilvl w:val="0"/>
          <w:numId w:val="1"/>
        </w:numPr>
        <w:spacing w:lineRule="auto" w:line="240" w:before="136" w:after="0"/>
        <w:ind w:left="720" w:hanging="360"/>
        <w:jc w:val="both"/>
        <w:rPr/>
      </w:pPr>
      <w:r>
        <w:rPr>
          <w:rFonts w:ascii="Times New Roman" w:hAnsi="Times New Roman"/>
          <w:sz w:val="24"/>
          <w:szCs w:val="24"/>
        </w:rPr>
        <w:t>promuovere raccordi formativi tra istituzioni scolastiche autonome, accademiche, universitarie, culturali, poli e centri museali;</w:t>
      </w:r>
    </w:p>
    <w:p>
      <w:pPr>
        <w:pStyle w:val="Normal"/>
        <w:numPr>
          <w:ilvl w:val="0"/>
          <w:numId w:val="1"/>
        </w:numPr>
        <w:spacing w:lineRule="auto" w:line="240" w:before="136" w:after="0"/>
        <w:ind w:left="72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promuovere senso di responsabilità personale e iniziative di partecipazione attiva e democratica in relazione al patrimonio storico- artistico;  </w:t>
      </w:r>
    </w:p>
    <w:p>
      <w:pPr>
        <w:pStyle w:val="Normal"/>
        <w:numPr>
          <w:ilvl w:val="0"/>
          <w:numId w:val="0"/>
        </w:numPr>
        <w:spacing w:lineRule="auto" w:line="240" w:before="136" w:after="0"/>
        <w:ind w:left="1192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Alle studentesse e agli studenti delle scuole secondarie di primo grado è indirizzata la seguente sezione delle Olimpiadi:</w:t>
      </w:r>
    </w:p>
    <w:p>
      <w:pPr>
        <w:pStyle w:val="Testopreformattato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stopreformattato"/>
        <w:numPr>
          <w:ilvl w:val="0"/>
          <w:numId w:val="2"/>
        </w:numPr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MATEMATICA E LOGICA</w:t>
      </w:r>
    </w:p>
    <w:p>
      <w:pPr>
        <w:pStyle w:val="Testopreformattato"/>
        <w:numPr>
          <w:ilvl w:val="0"/>
          <w:numId w:val="0"/>
        </w:numPr>
        <w:ind w:left="78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bookmarkStart w:id="1" w:name="__DdeLink__226_3735712615"/>
      <w:r>
        <w:rPr>
          <w:rFonts w:ascii="Times New Roman" w:hAnsi="Times New Roman"/>
          <w:sz w:val="24"/>
          <w:szCs w:val="24"/>
        </w:rPr>
        <w:t>D</w:t>
      </w:r>
      <w:bookmarkEnd w:id="1"/>
      <w:r>
        <w:rPr>
          <w:rFonts w:ascii="Times New Roman" w:hAnsi="Times New Roman"/>
          <w:sz w:val="24"/>
          <w:szCs w:val="24"/>
        </w:rPr>
        <w:t>estinatari delle prove sono le studentesse e gli studenti delle classi seconde e terze.</w:t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Esse comportano ragionamenti di aritmetica analoghi a quelli proposti ai giochi di Archimede dell’Unione Matematica Italiana (UMI) e ragionamenti di tipo logico e </w:t>
      </w:r>
      <w:r>
        <w:rPr>
          <w:rFonts w:eastAsia="Times New Roman" w:cs="Cambria" w:ascii="Times New Roman" w:hAnsi="Times New Roman"/>
          <w:sz w:val="24"/>
          <w:szCs w:val="24"/>
        </w:rPr>
        <w:t xml:space="preserve">saranno precedute da un </w:t>
      </w:r>
      <w:r>
        <w:rPr>
          <w:rFonts w:eastAsia="Times New Roman" w:cs="Cambria" w:ascii="Times New Roman" w:hAnsi="Times New Roman"/>
          <w:b/>
          <w:bCs/>
          <w:sz w:val="24"/>
          <w:szCs w:val="24"/>
        </w:rPr>
        <w:t>percorso propedeutico</w:t>
      </w:r>
      <w:r>
        <w:rPr>
          <w:rFonts w:eastAsia="Times New Roman" w:cs="Cambria" w:ascii="Times New Roman" w:hAnsi="Times New Roman"/>
          <w:sz w:val="24"/>
          <w:szCs w:val="24"/>
        </w:rPr>
        <w:t xml:space="preserve"> </w:t>
      </w:r>
      <w:r>
        <w:rPr>
          <w:rFonts w:eastAsia="Times New Roman" w:cs="Cambria" w:ascii="Times New Roman" w:hAnsi="Times New Roman"/>
          <w:b/>
          <w:bCs/>
          <w:sz w:val="24"/>
          <w:szCs w:val="24"/>
        </w:rPr>
        <w:t>di preparazione</w:t>
      </w:r>
      <w:r>
        <w:rPr>
          <w:rFonts w:eastAsia="Times New Roman" w:cs="Cambria" w:ascii="Times New Roman" w:hAnsi="Times New Roman"/>
          <w:sz w:val="24"/>
          <w:szCs w:val="24"/>
        </w:rPr>
        <w:t xml:space="preserve"> al loro espletamento. </w:t>
      </w:r>
    </w:p>
    <w:p>
      <w:pPr>
        <w:pStyle w:val="Testopreformattato"/>
        <w:jc w:val="both"/>
        <w:rPr/>
      </w:pPr>
      <w:r>
        <w:rPr>
          <w:rFonts w:eastAsia="Times New Roman" w:cs="Cambria" w:ascii="Times New Roman" w:hAnsi="Times New Roman"/>
          <w:sz w:val="24"/>
          <w:szCs w:val="24"/>
        </w:rPr>
        <w:t xml:space="preserve">Nell’ambito del percorso propedeutico sono inserite anche </w:t>
      </w:r>
      <w:r>
        <w:rPr>
          <w:rFonts w:eastAsia="Times New Roman" w:cs="Cambria" w:ascii="Times New Roman" w:hAnsi="Times New Roman"/>
          <w:b/>
          <w:bCs/>
          <w:sz w:val="24"/>
          <w:szCs w:val="24"/>
        </w:rPr>
        <w:t>attività di orientamento  per guidare le ragazze e i ragazzi alla scelta di un percorso scolastico coerente con attitudini , motivazioni e aspirazioni personali</w:t>
      </w:r>
      <w:r>
        <w:rPr>
          <w:rFonts w:eastAsia="Times New Roman" w:cs="Cambria" w:ascii="Times New Roman" w:hAnsi="Times New Roman"/>
          <w:sz w:val="24"/>
          <w:szCs w:val="24"/>
        </w:rPr>
        <w:t xml:space="preserve">. </w:t>
      </w:r>
    </w:p>
    <w:p>
      <w:pPr>
        <w:pStyle w:val="Testopreformattato"/>
        <w:jc w:val="both"/>
        <w:rPr>
          <w:rFonts w:ascii="Times New Roman" w:hAnsi="Times New Roman" w:eastAsia="Times New Roman" w:cs="Cambria"/>
          <w:sz w:val="24"/>
          <w:szCs w:val="24"/>
        </w:rPr>
      </w:pPr>
      <w:r>
        <w:rPr>
          <w:rFonts w:eastAsia="Times New Roman" w:cs="Cambria"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eastAsia="Times New Roman" w:cs="Cambria" w:ascii="Times New Roman" w:hAnsi="Times New Roman"/>
          <w:sz w:val="24"/>
          <w:szCs w:val="24"/>
        </w:rPr>
        <w:t xml:space="preserve">Tutto il percorso è fondato su metodologie didattiche innovative che coinvolgono gli allievi attivamente nel processo di apprendimento, favorendo la motivazione e lo sviluppo del ragionamento critico. </w:t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REGOLAMENTO</w:t>
      </w:r>
    </w:p>
    <w:p>
      <w:pPr>
        <w:pStyle w:val="Testopreformatta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Articolo 1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Iscrizione  </w:t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L’iscrizione alle Olimpiadi dei Saperi Positivi è gratuita. </w:t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Le istituzioni scolastiche interessate a far partecipare le proprie studentesse e i propri studenti dovranno inviare entro e non oltre MERCOLEDI’ 6 DICEMBRE   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b/>
          <w:bCs/>
          <w:sz w:val="24"/>
          <w:szCs w:val="24"/>
        </w:rPr>
        <w:t xml:space="preserve">          il modulo allegato debitamente compilato e firmato all’indirizzo email  </w:t>
      </w:r>
      <w:hyperlink r:id="rId3">
        <w:r>
          <w:rPr>
            <w:rStyle w:val="CollegamentoInternet"/>
            <w:rFonts w:ascii="Times New Roman" w:hAnsi="Times New Roman"/>
            <w:b/>
            <w:bCs/>
            <w:sz w:val="24"/>
            <w:szCs w:val="24"/>
          </w:rPr>
          <w:t>olimpiadisaperipositivi@polopietrasanta.it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>
      <w:pPr>
        <w:pStyle w:val="Testopreformattato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Articolo 2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Svolgimento delle attività</w:t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Le attività formative saranno tenute da docenti della scuola secondaria di secondo grado e  si svolgeranno in linea di massima con cadenza quindicinale da novembre ad aprile secondo un calendario che verrà comunicato alle scuole e sul sito.   </w:t>
      </w:r>
    </w:p>
    <w:p>
      <w:pPr>
        <w:pStyle w:val="Testopreformattato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Articolo 3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Svolgimento delle prove</w:t>
      </w:r>
    </w:p>
    <w:p>
      <w:pPr>
        <w:pStyle w:val="Testopreformatta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Le prove si svolgeranno MARTEDI’ 7 MAGGIO 2024.  </w:t>
      </w:r>
    </w:p>
    <w:p>
      <w:pPr>
        <w:pStyle w:val="Testopreformattato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Articolo 4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Valutazione delle prove</w:t>
      </w:r>
    </w:p>
    <w:p>
      <w:pPr>
        <w:pStyle w:val="Testopreformatta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>Le prove saranno corrette e valutate dal Comitato scientifico eventualmente con la collaborazione di  docenti universitari e di scuola secondaria di secondo grado. Le decisioni del Comitato sono definitive e insindacabili. La valutazione delle prove avrà luogo nel rispetto dell’anonimato dei concorrenti. Il Comitato scientifico definirà la graduatoria di merito per ciascuna sezione e successivamente abbinerà le prove con i nominativi dei concorrenti. Il vincitore e gli eventuali destinatari di una menzione saranno proclamati nel corso della cerimonia di premiazione.</w:t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>Si precisa che in materia di composizione della Commissione valutatrice valgono le stesse norme dei concorsi pubblici in particolare per le cause di incompatibilità dei componenti della stessa.</w:t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Articolo 5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Premiazione</w:t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La premiazione avrà luogo nella sede dell’Associazione nel mese di maggio 2024 in una data che verrà comunicata sul sito. </w:t>
      </w:r>
    </w:p>
    <w:p>
      <w:pPr>
        <w:pStyle w:val="Testopreformattato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Al/alla vincitore/vincitrice della sezione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Matematica e logica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per le scuole secondarie di primo grado sarà attribuito un premio di € 300.</w:t>
      </w:r>
    </w:p>
    <w:p>
      <w:pPr>
        <w:pStyle w:val="Testopreformattato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A tutti i partecipanti verrà rilasciato un attestato.  </w:t>
      </w:r>
    </w:p>
    <w:p>
      <w:pPr>
        <w:pStyle w:val="Testopreformattato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>Articolo 6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Trattamento dei dati personali</w:t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>I dati trattati saranno oggetto di comunicazione o resi accessibili unicamente per le finalità connesse alle attività formative del progetto stesso ai sensi del D. Lgs. 30 giugno 2003 n. 196 e successive modificazioni e del GDPR “Regolamente generale sulla Protezione dei Dati” (UE 2016/679). I partecipanti acconsentono al trattamento dei dati ai sensi dell’art. 13 del D. Lgs. 196/2003 e dell’art. 13 del GDPR (Regolamento UE 679/2016).</w:t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Articolo 7</w:t>
      </w:r>
    </w:p>
    <w:p>
      <w:pPr>
        <w:pStyle w:val="Testopreformattato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Norme finali</w:t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>La partecipazione implica l’accettazione del Regolamento. Gli organizzatori si riservano, in caso di necessità, il diritto di apportare modificazioni al presente Regolamento. Tali modificazioni saranno rese note attraverso comunicazioni alle scuole e sul sito web del Liceo Sbordone..</w:t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 w:ascii="Times New Roman" w:hAnsi="Times New Roman"/>
          <w:sz w:val="24"/>
          <w:szCs w:val="24"/>
          <w:lang w:eastAsia="it-IT"/>
        </w:rPr>
        <w:t xml:space="preserve">                                                </w:t>
      </w:r>
      <w:r>
        <w:rPr>
          <w:rFonts w:eastAsia="Times New Roman" w:cs="Arial" w:ascii="Times New Roman" w:hAnsi="Times New Roman"/>
          <w:sz w:val="24"/>
          <w:szCs w:val="24"/>
          <w:lang w:eastAsia="it-IT"/>
        </w:rPr>
        <w:t>Prof. Raffaele Iovine</w:t>
      </w:r>
    </w:p>
    <w:p>
      <w:pPr>
        <w:pStyle w:val="Testopreformattato"/>
        <w:jc w:val="both"/>
        <w:rPr/>
      </w:pPr>
      <w:r>
        <w:rPr>
          <w:rFonts w:eastAsia="Times New Roman" w:cs="Arial" w:ascii="Times New Roman" w:hAnsi="Times New Roman"/>
          <w:sz w:val="24"/>
          <w:szCs w:val="24"/>
          <w:lang w:eastAsia="it-IT"/>
        </w:rPr>
        <w:t xml:space="preserve">                                               </w:t>
      </w:r>
      <w:r>
        <w:rPr>
          <w:rFonts w:eastAsia="Times New Roman" w:cs="Arial" w:ascii="Times New Roman" w:hAnsi="Times New Roman"/>
          <w:sz w:val="24"/>
          <w:szCs w:val="24"/>
          <w:lang w:eastAsia="it-IT"/>
        </w:rPr>
        <w:t>Presidente Associazione Pietrasanta Polo Culturale ETS</w:t>
      </w:r>
    </w:p>
    <w:p>
      <w:pPr>
        <w:pStyle w:val="Testopreformattato"/>
        <w:jc w:val="both"/>
        <w:rPr>
          <w:rFonts w:ascii="Times New Roman" w:hAnsi="Times New Roman" w:eastAsia="Times New Roman" w:cs="Arial"/>
          <w:sz w:val="24"/>
          <w:szCs w:val="24"/>
          <w:lang w:eastAsia="it-IT"/>
        </w:rPr>
      </w:pPr>
      <w:r>
        <w:rPr>
          <w:rFonts w:eastAsia="Times New Roman" w:cs="Arial" w:ascii="Times New Roman" w:hAnsi="Times New Roman"/>
          <w:sz w:val="24"/>
          <w:szCs w:val="24"/>
          <w:lang w:eastAsia="it-IT"/>
        </w:rPr>
      </w:r>
    </w:p>
    <w:p>
      <w:pPr>
        <w:pStyle w:val="Testopreformattato"/>
        <w:jc w:val="both"/>
        <w:rPr/>
      </w:pPr>
      <w:r>
        <w:rPr>
          <w:rFonts w:eastAsia="Times New Roman" w:cs="Arial" w:ascii="Times New Roman" w:hAnsi="Times New Roman"/>
          <w:sz w:val="24"/>
          <w:szCs w:val="24"/>
          <w:lang w:eastAsia="it-IT"/>
        </w:rPr>
        <w:t xml:space="preserve">                                            </w:t>
      </w:r>
      <w:r>
        <w:rPr>
          <w:rFonts w:eastAsia="Times New Roman" w:cs="Arial" w:ascii="Times New Roman" w:hAnsi="Times New Roman"/>
          <w:sz w:val="24"/>
          <w:szCs w:val="24"/>
          <w:lang w:eastAsia="it-IT"/>
        </w:rPr>
        <w:t>Prof. ssa Laura Colantonio</w:t>
      </w:r>
    </w:p>
    <w:p>
      <w:pPr>
        <w:pStyle w:val="Testopreformattato"/>
        <w:jc w:val="both"/>
        <w:rPr/>
      </w:pPr>
      <w:r>
        <w:rPr>
          <w:rFonts w:eastAsia="Times New Roman" w:cs="Arial" w:ascii="Times New Roman" w:hAnsi="Times New Roman"/>
          <w:sz w:val="24"/>
          <w:szCs w:val="24"/>
          <w:lang w:eastAsia="it-IT"/>
        </w:rPr>
        <w:t xml:space="preserve">                                               </w:t>
      </w:r>
      <w:r>
        <w:rPr>
          <w:rFonts w:eastAsia="Times New Roman" w:cs="Arial" w:ascii="Times New Roman" w:hAnsi="Times New Roman"/>
          <w:sz w:val="24"/>
          <w:szCs w:val="24"/>
          <w:lang w:eastAsia="it-IT"/>
        </w:rPr>
        <w:t>Responsabile scientifica Olimpiadi dei Saperi Positivi</w:t>
      </w:r>
    </w:p>
    <w:p>
      <w:pPr>
        <w:pStyle w:val="Testopreformattato"/>
        <w:jc w:val="both"/>
        <w:rPr/>
      </w:pPr>
      <w:r>
        <w:rPr>
          <w:rFonts w:eastAsia="Times New Roman" w:cs="Arial" w:ascii="Times New Roman" w:hAnsi="Times New Roman"/>
          <w:sz w:val="24"/>
          <w:szCs w:val="24"/>
          <w:lang w:eastAsia="it-IT"/>
        </w:rPr>
        <w:t xml:space="preserve">                                               </w:t>
      </w:r>
      <w:r>
        <w:rPr>
          <w:rFonts w:eastAsia="Times New Roman" w:cs="Arial" w:ascii="Times New Roman" w:hAnsi="Times New Roman"/>
          <w:sz w:val="24"/>
          <w:szCs w:val="24"/>
          <w:lang w:eastAsia="it-IT"/>
        </w:rPr>
        <w:t xml:space="preserve">Referente Accordo Quadro    </w:t>
      </w:r>
    </w:p>
    <w:p>
      <w:pPr>
        <w:pStyle w:val="Testopreformattato"/>
        <w:spacing w:lineRule="auto" w:line="24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estopreformattato"/>
        <w:spacing w:lineRule="auto" w:line="24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estopreformattato"/>
        <w:spacing w:lineRule="auto" w:line="24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estopreformattato"/>
        <w:spacing w:lineRule="auto" w:line="24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estopreformattato"/>
        <w:spacing w:lineRule="auto" w:line="24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estopreformattato"/>
        <w:spacing w:lineRule="auto" w:line="24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estopreformattato"/>
        <w:spacing w:lineRule="auto" w:line="24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estopreformattato"/>
        <w:spacing w:lineRule="auto" w:line="24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estopreformattato"/>
        <w:spacing w:lineRule="auto" w:line="24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estopreformattato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0"/>
          <w:szCs w:val="20"/>
        </w:rPr>
        <w:t>OLIMPIADI DEI SAPERI POSITIVI/ACROPOLI DEI SAPERI</w:t>
      </w:r>
    </w:p>
    <w:p>
      <w:pPr>
        <w:pStyle w:val="Testopreformattato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0"/>
          <w:szCs w:val="20"/>
        </w:rPr>
        <w:t>III EDIZIONE</w:t>
      </w:r>
    </w:p>
    <w:p>
      <w:pPr>
        <w:pStyle w:val="Testopreformattato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0"/>
          <w:szCs w:val="20"/>
        </w:rPr>
        <w:t>2023-2024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b/>
          <w:bCs/>
          <w:sz w:val="20"/>
          <w:szCs w:val="20"/>
        </w:rPr>
        <w:t>MODULO   DI ISCRIZIONE STUDENTESSE E STUDENTI</w:t>
      </w:r>
    </w:p>
    <w:p>
      <w:pPr>
        <w:pStyle w:val="Testopreformatta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0"/>
          <w:szCs w:val="20"/>
        </w:rPr>
        <w:t>L’Istituto__________________________________________________________________</w:t>
      </w:r>
    </w:p>
    <w:p>
      <w:pPr>
        <w:pStyle w:val="Testopreformatta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0"/>
          <w:szCs w:val="20"/>
        </w:rPr>
        <w:t>con sede in __________________________________ prov. ________________________</w:t>
      </w:r>
    </w:p>
    <w:p>
      <w:pPr>
        <w:pStyle w:val="Testopreformatta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0"/>
          <w:szCs w:val="20"/>
        </w:rPr>
        <w:t>in via _____________________________________________________________________</w:t>
      </w:r>
    </w:p>
    <w:p>
      <w:pPr>
        <w:pStyle w:val="Testopreformatta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0"/>
          <w:szCs w:val="20"/>
        </w:rPr>
        <w:t>codice meccanografico _________________________ e  mail  __________________________</w:t>
      </w:r>
    </w:p>
    <w:p>
      <w:pPr>
        <w:pStyle w:val="Testopreformatta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0"/>
          <w:szCs w:val="20"/>
        </w:rPr>
        <w:t>telefono _______________________________  fax______________________________</w:t>
      </w:r>
    </w:p>
    <w:p>
      <w:pPr>
        <w:pStyle w:val="Testopreformatta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0"/>
          <w:szCs w:val="20"/>
        </w:rPr>
        <w:t>consapevole ai sensi e per gli effetti di cui al DPR 445/2000 della responsabilità e delle conseguenze civili e penali previste in caso di dichiarazioni mendaci</w:t>
      </w:r>
    </w:p>
    <w:p>
      <w:pPr>
        <w:pStyle w:val="Testopreformatta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stopreformattato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CHIEDE</w:t>
      </w:r>
    </w:p>
    <w:p>
      <w:pPr>
        <w:pStyle w:val="Testopreformattato"/>
        <w:jc w:val="center"/>
        <w:rPr/>
      </w:pPr>
      <w:r>
        <w:rPr>
          <w:rFonts w:ascii="Times New Roman" w:hAnsi="Times New Roman"/>
          <w:sz w:val="20"/>
          <w:szCs w:val="20"/>
        </w:rPr>
        <w:t>che vengano iscritti alla sezione Matematica e logica delle Olimpiadi dei Saperi Positivi i seguenti studenti:</w:t>
      </w:r>
    </w:p>
    <w:p>
      <w:pPr>
        <w:pStyle w:val="Testopreformatta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662"/>
        <w:gridCol w:w="2609"/>
        <w:gridCol w:w="1463"/>
        <w:gridCol w:w="2903"/>
      </w:tblGrid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Cognome e nome dello studente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Luogo e data di nascita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Classe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Email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Testopreformatta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stopreformattato"/>
        <w:rPr/>
      </w:pPr>
      <w:r>
        <w:rPr>
          <w:rFonts w:ascii="Times New Roman" w:hAnsi="Times New Roman"/>
          <w:sz w:val="20"/>
          <w:szCs w:val="20"/>
        </w:rPr>
        <w:t>Docente referente ________________________________________________</w:t>
      </w:r>
    </w:p>
    <w:p>
      <w:pPr>
        <w:pStyle w:val="Testopreformatta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rPr/>
      </w:pPr>
      <w:r>
        <w:rPr>
          <w:rFonts w:ascii="Times New Roman" w:hAnsi="Times New Roman"/>
          <w:sz w:val="20"/>
          <w:szCs w:val="20"/>
        </w:rPr>
        <w:t>Contatti ___________________________________________________________</w:t>
      </w:r>
    </w:p>
    <w:p>
      <w:pPr>
        <w:pStyle w:val="Testopreformatta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stopreformattato"/>
        <w:rPr/>
      </w:pPr>
      <w:r>
        <w:rPr>
          <w:rFonts w:ascii="Times New Roman" w:hAnsi="Times New Roman"/>
          <w:sz w:val="20"/>
          <w:szCs w:val="20"/>
        </w:rPr>
        <w:t xml:space="preserve">Si autorizza il trattamento dei dati personali secondo quanto previsto ai sensi del D. Lgs. 196/2003 e successive modificazioni e del GDPR “Regolamento Generale sulla Protezione dei Dati “ (UE 279/2016). 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>
          <w:rFonts w:ascii="Times New Roman" w:hAnsi="Times New Roman"/>
          <w:sz w:val="20"/>
          <w:szCs w:val="20"/>
        </w:rPr>
        <w:t>Napoli,__________________                                      IL/LA DIRIGENTE SCOLASTICO/A</w:t>
      </w:r>
    </w:p>
    <w:p>
      <w:pPr>
        <w:pStyle w:val="Testopreformatta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92"/>
        </w:tabs>
        <w:ind w:left="119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52"/>
        </w:tabs>
        <w:ind w:left="155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72"/>
        </w:tabs>
        <w:ind w:left="227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32"/>
        </w:tabs>
        <w:ind w:left="263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52"/>
        </w:tabs>
        <w:ind w:left="335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12"/>
        </w:tabs>
        <w:ind w:left="3712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9"/>
        </w:tabs>
        <w:ind w:left="114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9"/>
        </w:tabs>
        <w:ind w:left="150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9"/>
        </w:tabs>
        <w:ind w:left="222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9"/>
        </w:tabs>
        <w:ind w:left="258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9"/>
        </w:tabs>
        <w:ind w:left="330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9"/>
        </w:tabs>
        <w:ind w:left="3669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it-IT" w:eastAsia="zh-CN" w:bidi="hi-IN"/>
    </w:rPr>
  </w:style>
  <w:style w:type="character" w:styleId="ListLabel1033">
    <w:name w:val="ListLabel 1033"/>
    <w:qFormat/>
    <w:rPr>
      <w:rFonts w:ascii="Times New Roman" w:hAnsi="Times New Roman" w:cs="OpenSymbol"/>
      <w:sz w:val="24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OpenSymbol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  <w:b/>
      <w:sz w:val="24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OpenSymbol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rFonts w:cs="OpenSymbol"/>
    </w:rPr>
  </w:style>
  <w:style w:type="character" w:styleId="ListLabel1048">
    <w:name w:val="ListLabel 1048"/>
    <w:qFormat/>
    <w:rPr>
      <w:rFonts w:cs="OpenSymbol"/>
    </w:rPr>
  </w:style>
  <w:style w:type="character" w:styleId="ListLabel1049">
    <w:name w:val="ListLabel 1049"/>
    <w:qFormat/>
    <w:rPr>
      <w:rFonts w:cs="OpenSymbol"/>
    </w:rPr>
  </w:style>
  <w:style w:type="character" w:styleId="ListLabel1050">
    <w:name w:val="ListLabel 1050"/>
    <w:qFormat/>
    <w:rPr>
      <w:rFonts w:cs="OpenSymbol"/>
    </w:rPr>
  </w:style>
  <w:style w:type="character" w:styleId="CollegamentoInternet">
    <w:name w:val="Collegamento Internet"/>
    <w:rPr>
      <w:color w:val="000080"/>
      <w:u w:val="single"/>
    </w:rPr>
  </w:style>
  <w:style w:type="character" w:styleId="ListLabel1051">
    <w:name w:val="ListLabel 1051"/>
    <w:qFormat/>
    <w:rPr>
      <w:rFonts w:ascii="Times New Roman" w:hAnsi="Times New Roman"/>
      <w:b/>
      <w:bCs/>
      <w:sz w:val="24"/>
      <w:szCs w:val="24"/>
    </w:rPr>
  </w:style>
  <w:style w:type="character" w:styleId="ListLabel1052">
    <w:name w:val="ListLabel 1052"/>
    <w:qFormat/>
    <w:rPr>
      <w:rFonts w:cs="OpenSymbol"/>
      <w:sz w:val="24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OpenSymbol"/>
    </w:rPr>
  </w:style>
  <w:style w:type="character" w:styleId="ListLabel1061">
    <w:name w:val="ListLabel 1061"/>
    <w:qFormat/>
    <w:rPr>
      <w:rFonts w:cs="OpenSymbol"/>
      <w:b/>
      <w:sz w:val="24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OpenSymbol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ascii="Times New Roman" w:hAnsi="Times New Roman"/>
      <w:b/>
      <w:bCs/>
      <w:sz w:val="24"/>
      <w:szCs w:val="24"/>
    </w:rPr>
  </w:style>
  <w:style w:type="character" w:styleId="ListLabel1071">
    <w:name w:val="ListLabel 1071"/>
    <w:qFormat/>
    <w:rPr>
      <w:rFonts w:cs="OpenSymbol"/>
      <w:sz w:val="24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rFonts w:cs="OpenSymbol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  <w:b/>
      <w:sz w:val="24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OpenSymbol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cs="OpenSymbol"/>
    </w:rPr>
  </w:style>
  <w:style w:type="character" w:styleId="ListLabel1089">
    <w:name w:val="ListLabel 1089"/>
    <w:qFormat/>
    <w:rPr>
      <w:rFonts w:ascii="Times New Roman" w:hAnsi="Times New Roman"/>
      <w:b/>
      <w:bCs/>
      <w:sz w:val="24"/>
      <w:szCs w:val="24"/>
    </w:rPr>
  </w:style>
  <w:style w:type="character" w:styleId="ListLabel1090">
    <w:name w:val="ListLabel 1090"/>
    <w:qFormat/>
    <w:rPr>
      <w:rFonts w:cs="OpenSymbol"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rFonts w:cs="OpenSymbol"/>
      <w:b/>
      <w:sz w:val="24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ascii="Times New Roman" w:hAnsi="Times New Roman"/>
      <w:b/>
      <w:bCs/>
      <w:sz w:val="24"/>
      <w:szCs w:val="24"/>
    </w:rPr>
  </w:style>
  <w:style w:type="character" w:styleId="ListLabel1109">
    <w:name w:val="ListLabel 1109"/>
    <w:qFormat/>
    <w:rPr>
      <w:rFonts w:cs="OpenSymbol"/>
      <w:sz w:val="24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rFonts w:cs="OpenSymbol"/>
    </w:rPr>
  </w:style>
  <w:style w:type="character" w:styleId="ListLabel1113">
    <w:name w:val="ListLabel 1113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  <w:b/>
      <w:sz w:val="24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7">
    <w:name w:val="ListLabel 1127"/>
    <w:qFormat/>
    <w:rPr>
      <w:rFonts w:ascii="Times New Roman" w:hAnsi="Times New Roman"/>
      <w:b/>
      <w:bCs/>
      <w:sz w:val="24"/>
      <w:szCs w:val="24"/>
    </w:rPr>
  </w:style>
  <w:style w:type="character" w:styleId="ListLabel1128">
    <w:name w:val="ListLabel 1128"/>
    <w:qFormat/>
    <w:rPr>
      <w:rFonts w:cs="OpenSymbol"/>
      <w:sz w:val="24"/>
    </w:rPr>
  </w:style>
  <w:style w:type="character" w:styleId="ListLabel1129">
    <w:name w:val="ListLabel 1129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  <w:b/>
      <w:sz w:val="24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ascii="Times New Roman" w:hAnsi="Times New Roman"/>
      <w:b/>
      <w:bCs/>
      <w:sz w:val="24"/>
      <w:szCs w:val="24"/>
    </w:rPr>
  </w:style>
  <w:style w:type="character" w:styleId="ListLabel1147">
    <w:name w:val="ListLabel 1147"/>
    <w:qFormat/>
    <w:rPr>
      <w:rFonts w:cs="OpenSymbol"/>
      <w:sz w:val="24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OpenSymbol"/>
    </w:rPr>
  </w:style>
  <w:style w:type="character" w:styleId="ListLabel1156">
    <w:name w:val="ListLabel 1156"/>
    <w:qFormat/>
    <w:rPr>
      <w:rFonts w:cs="OpenSymbol"/>
      <w:b/>
      <w:sz w:val="24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rFonts w:cs="OpenSymbol"/>
    </w:rPr>
  </w:style>
  <w:style w:type="character" w:styleId="ListLabel1165">
    <w:name w:val="ListLabel 1165"/>
    <w:qFormat/>
    <w:rPr>
      <w:rFonts w:ascii="Times New Roman" w:hAnsi="Times New Roman"/>
      <w:b/>
      <w:bCs/>
      <w:sz w:val="24"/>
      <w:szCs w:val="24"/>
    </w:rPr>
  </w:style>
  <w:style w:type="character" w:styleId="ListLabel1166">
    <w:name w:val="ListLabel 1166"/>
    <w:qFormat/>
    <w:rPr>
      <w:rFonts w:cs="OpenSymbol"/>
      <w:sz w:val="24"/>
    </w:rPr>
  </w:style>
  <w:style w:type="character" w:styleId="ListLabel1167">
    <w:name w:val="ListLabel 1167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  <w:b/>
      <w:sz w:val="24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rFonts w:cs="OpenSymbol"/>
    </w:rPr>
  </w:style>
  <w:style w:type="character" w:styleId="ListLabel1178">
    <w:name w:val="ListLabel 1178"/>
    <w:qFormat/>
    <w:rPr>
      <w:rFonts w:cs="OpenSymbol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ascii="Times New Roman" w:hAnsi="Times New Roman"/>
      <w:b/>
      <w:bCs/>
      <w:sz w:val="24"/>
      <w:szCs w:val="24"/>
    </w:rPr>
  </w:style>
  <w:style w:type="character" w:styleId="ListLabel1185">
    <w:name w:val="ListLabel 1185"/>
    <w:qFormat/>
    <w:rPr>
      <w:rFonts w:cs="OpenSymbol"/>
      <w:sz w:val="24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ascii="Times New Roman" w:hAnsi="Times New Roman"/>
      <w:b/>
      <w:bCs/>
      <w:sz w:val="24"/>
      <w:szCs w:val="24"/>
    </w:rPr>
  </w:style>
  <w:style w:type="character" w:styleId="ListLabel1204">
    <w:name w:val="ListLabel 1204"/>
    <w:qFormat/>
    <w:rPr>
      <w:rFonts w:cs="OpenSymbol"/>
      <w:sz w:val="24"/>
    </w:rPr>
  </w:style>
  <w:style w:type="character" w:styleId="ListLabel1205">
    <w:name w:val="ListLabel 1205"/>
    <w:qFormat/>
    <w:rPr>
      <w:rFonts w:cs="OpenSymbol"/>
    </w:rPr>
  </w:style>
  <w:style w:type="character" w:styleId="ListLabel1206">
    <w:name w:val="ListLabel 1206"/>
    <w:qFormat/>
    <w:rPr>
      <w:rFonts w:cs="OpenSymbol"/>
    </w:rPr>
  </w:style>
  <w:style w:type="character" w:styleId="ListLabel1207">
    <w:name w:val="ListLabel 1207"/>
    <w:qFormat/>
    <w:rPr>
      <w:rFonts w:cs="OpenSymbol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  <w:b/>
      <w:sz w:val="24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ascii="Times New Roman" w:hAnsi="Times New Roman"/>
      <w:b/>
      <w:bCs/>
      <w:sz w:val="24"/>
      <w:szCs w:val="24"/>
    </w:rPr>
  </w:style>
  <w:style w:type="character" w:styleId="ListLabel1032">
    <w:name w:val="ListLabel 1032"/>
    <w:qFormat/>
    <w:rPr>
      <w:rFonts w:ascii="Times New Roman" w:hAnsi="Times New Roman"/>
      <w:b/>
      <w:bCs/>
      <w:sz w:val="24"/>
      <w:szCs w:val="24"/>
    </w:rPr>
  </w:style>
  <w:style w:type="character" w:styleId="ListLabel1031">
    <w:name w:val="ListLabel 1031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3">
    <w:name w:val="ListLabel 1023"/>
    <w:qFormat/>
    <w:rPr>
      <w:rFonts w:cs="OpenSymbol"/>
      <w:b/>
      <w:sz w:val="24"/>
    </w:rPr>
  </w:style>
  <w:style w:type="character" w:styleId="ListLabel1022">
    <w:name w:val="ListLabel 1022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19">
    <w:name w:val="ListLabel 1019"/>
    <w:qFormat/>
    <w:rPr>
      <w:rFonts w:cs="OpenSymbol"/>
    </w:rPr>
  </w:style>
  <w:style w:type="character" w:styleId="ListLabel1018">
    <w:name w:val="ListLabel 1018"/>
    <w:qFormat/>
    <w:rPr>
      <w:rFonts w:cs="OpenSymbol"/>
    </w:rPr>
  </w:style>
  <w:style w:type="character" w:styleId="ListLabel1017">
    <w:name w:val="ListLabel 1017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4">
    <w:name w:val="ListLabel 1014"/>
    <w:qFormat/>
    <w:rPr>
      <w:rFonts w:ascii="Times New Roman" w:hAnsi="Times New Roman" w:cs="OpenSymbol"/>
      <w:sz w:val="24"/>
    </w:rPr>
  </w:style>
  <w:style w:type="character" w:styleId="ListLabel1013">
    <w:name w:val="ListLabel 1013"/>
    <w:qFormat/>
    <w:rPr>
      <w:rFonts w:ascii="Times New Roman" w:hAnsi="Times New Roman"/>
      <w:b/>
      <w:bCs/>
      <w:sz w:val="24"/>
      <w:szCs w:val="24"/>
    </w:rPr>
  </w:style>
  <w:style w:type="character" w:styleId="ListLabel1012">
    <w:name w:val="ListLabel 1012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09">
    <w:name w:val="ListLabel 1009"/>
    <w:qFormat/>
    <w:rPr>
      <w:rFonts w:cs="OpenSymbol"/>
    </w:rPr>
  </w:style>
  <w:style w:type="character" w:styleId="ListLabel1008">
    <w:name w:val="ListLabel 1008"/>
    <w:qFormat/>
    <w:rPr>
      <w:rFonts w:cs="OpenSymbol"/>
    </w:rPr>
  </w:style>
  <w:style w:type="character" w:styleId="ListLabel1007">
    <w:name w:val="ListLabel 1007"/>
    <w:qFormat/>
    <w:rPr>
      <w:rFonts w:cs="OpenSymbol"/>
    </w:rPr>
  </w:style>
  <w:style w:type="character" w:styleId="ListLabel1006">
    <w:name w:val="ListLabel 1006"/>
    <w:qFormat/>
    <w:rPr>
      <w:rFonts w:cs="OpenSymbol"/>
    </w:rPr>
  </w:style>
  <w:style w:type="character" w:styleId="ListLabel1005">
    <w:name w:val="ListLabel 1005"/>
    <w:qFormat/>
    <w:rPr>
      <w:rFonts w:cs="OpenSymbol"/>
    </w:rPr>
  </w:style>
  <w:style w:type="character" w:styleId="ListLabel1004">
    <w:name w:val="ListLabel 1004"/>
    <w:qFormat/>
    <w:rPr>
      <w:rFonts w:cs="OpenSymbol"/>
      <w:b/>
      <w:sz w:val="24"/>
    </w:rPr>
  </w:style>
  <w:style w:type="character" w:styleId="ListLabel1003">
    <w:name w:val="ListLabel 1003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5">
    <w:name w:val="ListLabel 995"/>
    <w:qFormat/>
    <w:rPr>
      <w:rFonts w:ascii="Times New Roman" w:hAnsi="Times New Roman" w:cs="OpenSymbol"/>
      <w:sz w:val="24"/>
    </w:rPr>
  </w:style>
  <w:style w:type="character" w:styleId="ListLabel994">
    <w:name w:val="ListLabel 994"/>
    <w:qFormat/>
    <w:rPr>
      <w:rFonts w:ascii="Times New Roman" w:hAnsi="Times New Roman"/>
      <w:b/>
      <w:bCs/>
      <w:sz w:val="24"/>
      <w:szCs w:val="24"/>
    </w:rPr>
  </w:style>
  <w:style w:type="character" w:styleId="ListLabel993">
    <w:name w:val="ListLabel 993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5">
    <w:name w:val="ListLabel 985"/>
    <w:qFormat/>
    <w:rPr>
      <w:rFonts w:cs="OpenSymbol"/>
      <w:b/>
      <w:sz w:val="24"/>
    </w:rPr>
  </w:style>
  <w:style w:type="character" w:styleId="ListLabel984">
    <w:name w:val="ListLabel 984"/>
    <w:qFormat/>
    <w:rPr>
      <w:rFonts w:cs="OpenSymbol"/>
    </w:rPr>
  </w:style>
  <w:style w:type="character" w:styleId="ListLabel983">
    <w:name w:val="ListLabel 983"/>
    <w:qFormat/>
    <w:rPr>
      <w:rFonts w:cs="OpenSymbol"/>
    </w:rPr>
  </w:style>
  <w:style w:type="character" w:styleId="ListLabel982">
    <w:name w:val="ListLabel 982"/>
    <w:qFormat/>
    <w:rPr>
      <w:rFonts w:cs="OpenSymbol"/>
    </w:rPr>
  </w:style>
  <w:style w:type="character" w:styleId="ListLabel981">
    <w:name w:val="ListLabel 981"/>
    <w:qFormat/>
    <w:rPr>
      <w:rFonts w:cs="OpenSymbol"/>
    </w:rPr>
  </w:style>
  <w:style w:type="character" w:styleId="ListLabel980">
    <w:name w:val="ListLabel 980"/>
    <w:qFormat/>
    <w:rPr>
      <w:rFonts w:cs="OpenSymbol"/>
    </w:rPr>
  </w:style>
  <w:style w:type="character" w:styleId="ListLabel979">
    <w:name w:val="ListLabel 979"/>
    <w:qFormat/>
    <w:rPr>
      <w:rFonts w:cs="OpenSymbol"/>
    </w:rPr>
  </w:style>
  <w:style w:type="character" w:styleId="ListLabel978">
    <w:name w:val="ListLabel 978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6">
    <w:name w:val="ListLabel 976"/>
    <w:qFormat/>
    <w:rPr>
      <w:rFonts w:ascii="Times New Roman" w:hAnsi="Times New Roman" w:cs="OpenSymbol"/>
      <w:sz w:val="24"/>
    </w:rPr>
  </w:style>
  <w:style w:type="character" w:styleId="ListLabel975">
    <w:name w:val="ListLabel 975"/>
    <w:qFormat/>
    <w:rPr>
      <w:rFonts w:ascii="Times New Roman" w:hAnsi="Times New Roman"/>
      <w:b/>
      <w:bCs/>
      <w:sz w:val="24"/>
      <w:szCs w:val="24"/>
    </w:rPr>
  </w:style>
  <w:style w:type="character" w:styleId="ListLabel974">
    <w:name w:val="ListLabel 974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0">
    <w:name w:val="ListLabel 970"/>
    <w:qFormat/>
    <w:rPr>
      <w:rFonts w:cs="OpenSymbol"/>
    </w:rPr>
  </w:style>
  <w:style w:type="character" w:styleId="ListLabel969">
    <w:name w:val="ListLabel 969"/>
    <w:qFormat/>
    <w:rPr>
      <w:rFonts w:cs="OpenSymbol"/>
    </w:rPr>
  </w:style>
  <w:style w:type="character" w:styleId="ListLabel968">
    <w:name w:val="ListLabel 968"/>
    <w:qFormat/>
    <w:rPr>
      <w:rFonts w:cs="OpenSymbol"/>
    </w:rPr>
  </w:style>
  <w:style w:type="character" w:styleId="ListLabel967">
    <w:name w:val="ListLabel 967"/>
    <w:qFormat/>
    <w:rPr>
      <w:rFonts w:cs="OpenSymbol"/>
    </w:rPr>
  </w:style>
  <w:style w:type="character" w:styleId="ListLabel966">
    <w:name w:val="ListLabel 966"/>
    <w:qFormat/>
    <w:rPr>
      <w:rFonts w:cs="OpenSymbol"/>
      <w:b/>
      <w:sz w:val="24"/>
    </w:rPr>
  </w:style>
  <w:style w:type="character" w:styleId="ListLabel965">
    <w:name w:val="ListLabel 965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7">
    <w:name w:val="ListLabel 957"/>
    <w:qFormat/>
    <w:rPr>
      <w:rFonts w:ascii="Times New Roman" w:hAnsi="Times New Roman" w:cs="OpenSymbol"/>
      <w:sz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956">
    <w:name w:val="ListLabel 956"/>
    <w:qFormat/>
    <w:rPr>
      <w:rFonts w:ascii="Times New Roman" w:hAnsi="Times New Roman"/>
      <w:b/>
      <w:bCs/>
      <w:sz w:val="24"/>
      <w:szCs w:val="24"/>
    </w:rPr>
  </w:style>
  <w:style w:type="character" w:styleId="ListLabel955">
    <w:name w:val="ListLabel 955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7">
    <w:name w:val="ListLabel 947"/>
    <w:qFormat/>
    <w:rPr>
      <w:rFonts w:cs="OpenSymbol"/>
      <w:b/>
      <w:sz w:val="24"/>
    </w:rPr>
  </w:style>
  <w:style w:type="character" w:styleId="ListLabel946">
    <w:name w:val="ListLabel 946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3">
    <w:name w:val="ListLabel 943"/>
    <w:qFormat/>
    <w:rPr>
      <w:rFonts w:cs="OpenSymbol"/>
    </w:rPr>
  </w:style>
  <w:style w:type="character" w:styleId="ListLabel942">
    <w:name w:val="ListLabel 942"/>
    <w:qFormat/>
    <w:rPr>
      <w:rFonts w:cs="OpenSymbol"/>
    </w:rPr>
  </w:style>
  <w:style w:type="character" w:styleId="ListLabel941">
    <w:name w:val="ListLabel 941"/>
    <w:qFormat/>
    <w:rPr>
      <w:rFonts w:cs="OpenSymbol"/>
    </w:rPr>
  </w:style>
  <w:style w:type="character" w:styleId="ListLabel940">
    <w:name w:val="ListLabel 940"/>
    <w:qFormat/>
    <w:rPr>
      <w:rFonts w:cs="OpenSymbol"/>
    </w:rPr>
  </w:style>
  <w:style w:type="character" w:styleId="ListLabel939">
    <w:name w:val="ListLabel 939"/>
    <w:qFormat/>
    <w:rPr>
      <w:rFonts w:cs="OpenSymbol"/>
    </w:rPr>
  </w:style>
  <w:style w:type="character" w:styleId="ListLabel938">
    <w:name w:val="ListLabel 938"/>
    <w:qFormat/>
    <w:rPr>
      <w:rFonts w:ascii="Times New Roman" w:hAnsi="Times New Roman" w:cs="OpenSymbol"/>
      <w:sz w:val="24"/>
    </w:rPr>
  </w:style>
  <w:style w:type="character" w:styleId="ListLabel937">
    <w:name w:val="ListLabel 937"/>
    <w:qFormat/>
    <w:rPr>
      <w:rFonts w:ascii="Times New Roman" w:hAnsi="Times New Roman"/>
      <w:b/>
      <w:bCs/>
      <w:sz w:val="28"/>
      <w:szCs w:val="28"/>
    </w:rPr>
  </w:style>
  <w:style w:type="character" w:styleId="ListLabel936">
    <w:name w:val="ListLabel 936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28">
    <w:name w:val="ListLabel 928"/>
    <w:qFormat/>
    <w:rPr>
      <w:rFonts w:cs="OpenSymbol"/>
      <w:b/>
      <w:sz w:val="24"/>
    </w:rPr>
  </w:style>
  <w:style w:type="character" w:styleId="ListLabel927">
    <w:name w:val="ListLabel 927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19">
    <w:name w:val="ListLabel 919"/>
    <w:qFormat/>
    <w:rPr>
      <w:rFonts w:ascii="Times New Roman" w:hAnsi="Times New Roman" w:cs="OpenSymbol"/>
      <w:sz w:val="24"/>
    </w:rPr>
  </w:style>
  <w:style w:type="character" w:styleId="ListLabel918">
    <w:name w:val="ListLabel 918"/>
    <w:qFormat/>
    <w:rPr>
      <w:rFonts w:ascii="Times New Roman" w:hAnsi="Times New Roman"/>
      <w:b/>
      <w:bCs/>
      <w:sz w:val="28"/>
      <w:szCs w:val="28"/>
    </w:rPr>
  </w:style>
  <w:style w:type="character" w:styleId="ListLabel917">
    <w:name w:val="ListLabel 917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1">
    <w:name w:val="ListLabel 901"/>
    <w:qFormat/>
    <w:rPr>
      <w:rFonts w:cs="OpenSymbol"/>
    </w:rPr>
  </w:style>
  <w:style w:type="character" w:styleId="ListLabel900">
    <w:name w:val="ListLabel 900"/>
    <w:qFormat/>
    <w:rPr>
      <w:rFonts w:ascii="Times New Roman" w:hAnsi="Times New Roman" w:cs="OpenSymbol"/>
      <w:sz w:val="24"/>
    </w:rPr>
  </w:style>
  <w:style w:type="character" w:styleId="ListLabel899">
    <w:name w:val="ListLabel 899"/>
    <w:qFormat/>
    <w:rPr>
      <w:rFonts w:ascii="Times New Roman" w:hAnsi="Times New Roman"/>
      <w:b/>
      <w:bCs/>
      <w:sz w:val="28"/>
      <w:szCs w:val="28"/>
    </w:rPr>
  </w:style>
  <w:style w:type="character" w:styleId="ListLabel898">
    <w:name w:val="ListLabel 898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89">
    <w:name w:val="ListLabel 889"/>
    <w:qFormat/>
    <w:rPr>
      <w:rFonts w:cs="OpenSymbol"/>
    </w:rPr>
  </w:style>
  <w:style w:type="character" w:styleId="ListLabel888">
    <w:name w:val="ListLabel 888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0">
    <w:name w:val="ListLabel 880"/>
    <w:qFormat/>
    <w:rPr>
      <w:rFonts w:ascii="Times New Roman" w:hAnsi="Times New Roman"/>
      <w:b/>
      <w:bCs/>
      <w:sz w:val="28"/>
      <w:szCs w:val="28"/>
    </w:rPr>
  </w:style>
  <w:style w:type="character" w:styleId="ListLabel879">
    <w:name w:val="ListLabel 879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ListLabel1223">
    <w:name w:val="ListLabel 1223"/>
    <w:qFormat/>
    <w:rPr>
      <w:rFonts w:cs="OpenSymbol"/>
      <w:sz w:val="24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2">
    <w:name w:val="ListLabel 1232"/>
    <w:qFormat/>
    <w:rPr>
      <w:rFonts w:cs="OpenSymbol"/>
      <w:b/>
      <w:sz w:val="24"/>
    </w:rPr>
  </w:style>
  <w:style w:type="character" w:styleId="ListLabel1233">
    <w:name w:val="ListLabel 1233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ascii="Times New Roman" w:hAnsi="Times New Roman"/>
      <w:b/>
      <w:bCs/>
      <w:sz w:val="24"/>
      <w:szCs w:val="24"/>
    </w:rPr>
  </w:style>
  <w:style w:type="character" w:styleId="ListLabel1242">
    <w:name w:val="ListLabel 1242"/>
    <w:qFormat/>
    <w:rPr>
      <w:rFonts w:cs="OpenSymbol"/>
      <w:sz w:val="24"/>
    </w:rPr>
  </w:style>
  <w:style w:type="character" w:styleId="ListLabel1243">
    <w:name w:val="ListLabel 1243"/>
    <w:qFormat/>
    <w:rPr>
      <w:rFonts w:cs="OpenSymbol"/>
    </w:rPr>
  </w:style>
  <w:style w:type="character" w:styleId="ListLabel1244">
    <w:name w:val="ListLabel 1244"/>
    <w:qFormat/>
    <w:rPr>
      <w:rFonts w:cs="OpenSymbol"/>
    </w:rPr>
  </w:style>
  <w:style w:type="character" w:styleId="ListLabel1245">
    <w:name w:val="ListLabel 1245"/>
    <w:qFormat/>
    <w:rPr>
      <w:rFonts w:cs="OpenSymbol"/>
    </w:rPr>
  </w:style>
  <w:style w:type="character" w:styleId="ListLabel1246">
    <w:name w:val="ListLabel 1246"/>
    <w:qFormat/>
    <w:rPr>
      <w:rFonts w:cs="OpenSymbol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  <w:b/>
      <w:sz w:val="24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ascii="Times New Roman" w:hAnsi="Times New Roman"/>
      <w:b/>
      <w:bCs/>
      <w:sz w:val="24"/>
      <w:szCs w:val="24"/>
    </w:rPr>
  </w:style>
  <w:style w:type="character" w:styleId="ListLabel1261">
    <w:name w:val="ListLabel 1261"/>
    <w:qFormat/>
    <w:rPr>
      <w:rFonts w:cs="OpenSymbol"/>
      <w:sz w:val="24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cs="OpenSymbol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  <w:b/>
      <w:sz w:val="24"/>
    </w:rPr>
  </w:style>
  <w:style w:type="character" w:styleId="ListLabel1271">
    <w:name w:val="ListLabel 1271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ascii="Times New Roman" w:hAnsi="Times New Roman"/>
      <w:b/>
      <w:bCs/>
      <w:sz w:val="24"/>
      <w:szCs w:val="24"/>
    </w:rPr>
  </w:style>
  <w:style w:type="character" w:styleId="ListLabel1280">
    <w:name w:val="ListLabel 1280"/>
    <w:qFormat/>
    <w:rPr>
      <w:rFonts w:cs="OpenSymbol"/>
      <w:sz w:val="24"/>
    </w:rPr>
  </w:style>
  <w:style w:type="character" w:styleId="ListLabel1281">
    <w:name w:val="ListLabel 1281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OpenSymbol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rFonts w:cs="OpenSymbol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  <w:b/>
      <w:sz w:val="24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ascii="Times New Roman" w:hAnsi="Times New Roman"/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limpiadisaperipositivi@polopietrasanta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LibreOffice/6.1.3.2$Windows_X86_64 LibreOffice_project/86daf60bf00efa86ad547e59e09d6bb77c699acb</Application>
  <Pages>5</Pages>
  <Words>1139</Words>
  <Characters>7370</Characters>
  <CharactersWithSpaces>9135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2023-11-27T17:19:05Z</dcterms:modified>
  <cp:revision>15</cp:revision>
  <dc:subject/>
  <dc:title/>
</cp:coreProperties>
</file>